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44"/>
          <w:szCs w:val="44"/>
          <w:lang w:val="en-US" w:eastAsia="zh-CN"/>
        </w:rPr>
      </w:pPr>
      <w:r>
        <w:rPr>
          <w:b/>
          <w:sz w:val="44"/>
          <w:szCs w:val="44"/>
        </w:rPr>
        <w:t>外贸箱进口陆改水项目</w:t>
      </w:r>
      <w:r>
        <w:rPr>
          <w:rFonts w:hint="eastAsia"/>
          <w:b/>
          <w:sz w:val="44"/>
          <w:szCs w:val="44"/>
          <w:lang w:val="en-US" w:eastAsia="zh-CN"/>
        </w:rPr>
        <w:t>操作流程</w:t>
      </w:r>
      <w:bookmarkStart w:id="0" w:name="_GoBack"/>
      <w:bookmarkEnd w:id="0"/>
    </w:p>
    <w:p>
      <w:pPr>
        <w:jc w:val="center"/>
        <w:rPr>
          <w:b/>
          <w:sz w:val="44"/>
          <w:szCs w:val="44"/>
        </w:rPr>
      </w:pPr>
    </w:p>
    <w:p>
      <w:pPr>
        <w:jc w:val="center"/>
        <w:rPr>
          <w:b/>
          <w:sz w:val="44"/>
          <w:szCs w:val="44"/>
        </w:rPr>
      </w:pPr>
    </w:p>
    <w:p>
      <w:pPr>
        <w:jc w:val="left"/>
        <w:rPr>
          <w:b/>
          <w:sz w:val="30"/>
          <w:szCs w:val="30"/>
        </w:rPr>
      </w:pPr>
      <w:r>
        <w:rPr>
          <w:rFonts w:hint="eastAsia"/>
          <w:b/>
          <w:sz w:val="30"/>
          <w:szCs w:val="30"/>
        </w:rPr>
        <w:t xml:space="preserve">项目经理：徐林伟   13916892874   </w:t>
      </w:r>
      <w:r>
        <w:fldChar w:fldCharType="begin"/>
      </w:r>
      <w:r>
        <w:instrText xml:space="preserve"> HYPERLINK "mailto:XULW@WIN-FA.COM" </w:instrText>
      </w:r>
      <w:r>
        <w:fldChar w:fldCharType="separate"/>
      </w:r>
      <w:r>
        <w:rPr>
          <w:rStyle w:val="7"/>
          <w:rFonts w:hint="eastAsia"/>
          <w:b/>
          <w:sz w:val="30"/>
          <w:szCs w:val="30"/>
        </w:rPr>
        <w:t>XULW@WIN-FA.COM</w:t>
      </w:r>
      <w:r>
        <w:rPr>
          <w:rStyle w:val="7"/>
          <w:rFonts w:hint="eastAsia"/>
          <w:b/>
          <w:sz w:val="30"/>
          <w:szCs w:val="30"/>
        </w:rPr>
        <w:fldChar w:fldCharType="end"/>
      </w:r>
    </w:p>
    <w:p>
      <w:pPr>
        <w:jc w:val="left"/>
        <w:rPr>
          <w:b/>
          <w:sz w:val="30"/>
          <w:szCs w:val="30"/>
        </w:rPr>
      </w:pPr>
      <w:r>
        <w:rPr>
          <w:rFonts w:hint="eastAsia"/>
          <w:b/>
          <w:sz w:val="30"/>
          <w:szCs w:val="30"/>
          <w:lang w:val="en-US" w:eastAsia="zh-CN"/>
        </w:rPr>
        <w:t>线上运营</w:t>
      </w:r>
      <w:r>
        <w:rPr>
          <w:rFonts w:hint="eastAsia"/>
          <w:b/>
          <w:sz w:val="30"/>
          <w:szCs w:val="30"/>
        </w:rPr>
        <w:t xml:space="preserve">：王志诚   13761629226   </w:t>
      </w:r>
      <w:r>
        <w:fldChar w:fldCharType="begin"/>
      </w:r>
      <w:r>
        <w:instrText xml:space="preserve"> HYPERLINK "mailto:WANGZC@WIN-FA.COM" </w:instrText>
      </w:r>
      <w:r>
        <w:fldChar w:fldCharType="separate"/>
      </w:r>
      <w:r>
        <w:rPr>
          <w:rStyle w:val="7"/>
          <w:rFonts w:hint="eastAsia"/>
          <w:b/>
          <w:sz w:val="30"/>
          <w:szCs w:val="30"/>
        </w:rPr>
        <w:t>WANGZC@WIN-FA.COM</w:t>
      </w:r>
      <w:r>
        <w:rPr>
          <w:rStyle w:val="7"/>
          <w:rFonts w:hint="eastAsia"/>
          <w:b/>
          <w:sz w:val="30"/>
          <w:szCs w:val="30"/>
        </w:rPr>
        <w:fldChar w:fldCharType="end"/>
      </w:r>
    </w:p>
    <w:p>
      <w:pPr>
        <w:jc w:val="left"/>
        <w:rPr>
          <w:rStyle w:val="7"/>
        </w:rPr>
      </w:pPr>
      <w:r>
        <w:rPr>
          <w:rFonts w:hint="eastAsia"/>
          <w:b/>
          <w:sz w:val="30"/>
          <w:szCs w:val="30"/>
        </w:rPr>
        <w:t xml:space="preserve">操作经理：郑玉莺   13818883930  </w:t>
      </w:r>
      <w:r>
        <w:rPr>
          <w:rStyle w:val="7"/>
          <w:rFonts w:hint="eastAsia"/>
          <w:u w:val="none"/>
        </w:rPr>
        <w:t xml:space="preserve"> </w:t>
      </w:r>
      <w:r>
        <w:rPr>
          <w:rStyle w:val="7"/>
          <w:rFonts w:hint="eastAsia"/>
          <w:b/>
          <w:sz w:val="30"/>
          <w:szCs w:val="30"/>
        </w:rPr>
        <w:t>ZHENGYY@WIN-FA.COM</w:t>
      </w:r>
    </w:p>
    <w:p>
      <w:pPr>
        <w:jc w:val="left"/>
        <w:rPr>
          <w:b/>
          <w:sz w:val="30"/>
          <w:szCs w:val="30"/>
        </w:rPr>
      </w:pPr>
      <w:r>
        <w:rPr>
          <w:rFonts w:hint="eastAsia"/>
          <w:b/>
          <w:sz w:val="30"/>
          <w:szCs w:val="30"/>
        </w:rPr>
        <w:t xml:space="preserve">操作负责：艾园园   13671566083  </w:t>
      </w:r>
      <w:r>
        <w:rPr>
          <w:rStyle w:val="7"/>
          <w:rFonts w:hint="eastAsia"/>
          <w:u w:val="none"/>
        </w:rPr>
        <w:t xml:space="preserve"> </w:t>
      </w:r>
      <w:r>
        <w:rPr>
          <w:rStyle w:val="7"/>
          <w:rFonts w:hint="eastAsia"/>
          <w:b/>
          <w:sz w:val="30"/>
          <w:szCs w:val="30"/>
        </w:rPr>
        <w:t>AIYY@WIN-FA.COM</w:t>
      </w:r>
    </w:p>
    <w:p/>
    <w:p/>
    <w:p>
      <w:pPr>
        <w:pStyle w:val="8"/>
        <w:numPr>
          <w:ilvl w:val="0"/>
          <w:numId w:val="1"/>
        </w:numPr>
        <w:ind w:firstLineChars="0"/>
        <w:rPr>
          <w:rFonts w:ascii="黑体" w:hAnsi="黑体" w:eastAsia="黑体"/>
          <w:b/>
          <w:sz w:val="30"/>
          <w:szCs w:val="30"/>
        </w:rPr>
      </w:pPr>
      <w:r>
        <w:rPr>
          <w:rFonts w:hint="eastAsia" w:ascii="黑体" w:hAnsi="黑体" w:eastAsia="黑体"/>
          <w:b/>
          <w:sz w:val="30"/>
          <w:szCs w:val="30"/>
        </w:rPr>
        <w:t>陆改水业务</w:t>
      </w:r>
      <w:r>
        <w:rPr>
          <w:rFonts w:hint="eastAsia" w:ascii="黑体" w:hAnsi="黑体" w:eastAsia="黑体"/>
          <w:b/>
          <w:sz w:val="30"/>
          <w:szCs w:val="30"/>
          <w:lang w:val="en-US" w:eastAsia="zh-CN"/>
        </w:rPr>
        <w:t>介绍及</w:t>
      </w:r>
      <w:r>
        <w:rPr>
          <w:rFonts w:hint="eastAsia" w:ascii="黑体" w:hAnsi="黑体" w:eastAsia="黑体"/>
          <w:b/>
          <w:sz w:val="30"/>
          <w:szCs w:val="30"/>
        </w:rPr>
        <w:t>核心价值</w:t>
      </w:r>
    </w:p>
    <w:p>
      <w:pPr>
        <w:ind w:firstLine="560" w:firstLineChars="200"/>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我司与上海港各码头及长江各口岸支线驳船公司都建立良好长期的合作关系，可提供外贸改内贸、进口陆路改水路的转运服务业务。对于同码头陆改水转运服务可以有效地减少箱货至最终收货地的物流交接环节，通过改变物流途径的方式来降低物流成本，同时利用驳船的仓位配比优势来减少公路拖车段的压力。对于货重较重的集箱、距离较远的港口或收货地、逢年过节拖车压力暴增、疫情道路封闭等不可预计的情况，此业务都有着显著优势及长期的可操作性。同时此业务还包括我司为广大客户提供外贸段及对应内贸段衔接的全程物流服务，我司励志将各个环节截点的把控做到最优，避免货物在转运过程中产生其他不必要的费用及操作环节，为上海港至长江及沿海各港口的黄金水路提供一条龙优质的全程物流服务。</w:t>
      </w:r>
    </w:p>
    <w:p>
      <w:pPr>
        <w:rPr>
          <w:rFonts w:ascii="黑体" w:hAnsi="黑体" w:eastAsia="黑体"/>
          <w:b/>
          <w:sz w:val="30"/>
          <w:szCs w:val="30"/>
        </w:rPr>
      </w:pPr>
    </w:p>
    <w:p>
      <w:pPr>
        <w:pStyle w:val="8"/>
        <w:numPr>
          <w:ilvl w:val="0"/>
          <w:numId w:val="1"/>
        </w:numPr>
        <w:ind w:firstLineChars="0"/>
        <w:rPr>
          <w:rFonts w:ascii="黑体" w:hAnsi="黑体" w:eastAsia="黑体"/>
          <w:b/>
          <w:sz w:val="30"/>
          <w:szCs w:val="30"/>
        </w:rPr>
      </w:pPr>
      <w:r>
        <w:rPr>
          <w:rFonts w:hint="eastAsia" w:ascii="黑体" w:hAnsi="黑体" w:eastAsia="黑体"/>
          <w:b/>
          <w:sz w:val="30"/>
          <w:szCs w:val="30"/>
        </w:rPr>
        <w:t>操作流程及截点</w:t>
      </w:r>
    </w:p>
    <w:p>
      <w:pPr>
        <w:pStyle w:val="8"/>
        <w:numPr>
          <w:ilvl w:val="0"/>
          <w:numId w:val="2"/>
        </w:numPr>
        <w:ind w:firstLineChars="0"/>
        <w:rPr>
          <w:sz w:val="28"/>
          <w:szCs w:val="28"/>
        </w:rPr>
      </w:pPr>
      <w:r>
        <w:rPr>
          <w:rFonts w:hint="eastAsia"/>
          <w:sz w:val="28"/>
          <w:szCs w:val="28"/>
        </w:rPr>
        <w:t>在大船靠泊前2-5个工作日提供全套清关资料给到我司操作进行进口预报关及船公司、船代换单的准备工作。</w:t>
      </w:r>
    </w:p>
    <w:p>
      <w:pPr>
        <w:pStyle w:val="8"/>
        <w:numPr>
          <w:ilvl w:val="0"/>
          <w:numId w:val="2"/>
        </w:numPr>
        <w:ind w:firstLineChars="0"/>
        <w:rPr>
          <w:sz w:val="28"/>
          <w:szCs w:val="28"/>
        </w:rPr>
      </w:pPr>
      <w:r>
        <w:rPr>
          <w:rFonts w:hint="eastAsia"/>
          <w:sz w:val="28"/>
          <w:szCs w:val="28"/>
        </w:rPr>
        <w:t>干线船卸箱后完成清关工作，如遇海关查验，待查验完成后放行。</w:t>
      </w:r>
    </w:p>
    <w:p>
      <w:pPr>
        <w:pStyle w:val="8"/>
        <w:numPr>
          <w:ilvl w:val="0"/>
          <w:numId w:val="2"/>
        </w:numPr>
        <w:ind w:firstLineChars="0"/>
        <w:rPr>
          <w:sz w:val="28"/>
          <w:szCs w:val="28"/>
        </w:rPr>
      </w:pPr>
      <w:r>
        <w:rPr>
          <w:rFonts w:hint="eastAsia"/>
          <w:sz w:val="28"/>
          <w:szCs w:val="28"/>
        </w:rPr>
        <w:t>清关及换单完成后将电子提货单发送至我司受理账户：上海运辉国际货运代理有限公司；账号：007210下。</w:t>
      </w:r>
    </w:p>
    <w:p>
      <w:pPr>
        <w:pStyle w:val="8"/>
        <w:numPr>
          <w:ilvl w:val="0"/>
          <w:numId w:val="2"/>
        </w:numPr>
        <w:ind w:firstLineChars="0"/>
        <w:rPr>
          <w:sz w:val="28"/>
          <w:szCs w:val="28"/>
        </w:rPr>
      </w:pPr>
      <w:r>
        <w:rPr>
          <w:rFonts w:hint="eastAsia"/>
          <w:sz w:val="28"/>
          <w:szCs w:val="28"/>
        </w:rPr>
        <w:t>（1）安排进口外贸箱放单。（工作日的9:00-16:00在船公司系统中开放放单。超出此时间范围的将不能受理。后续安排驳船务必在放单完成后再定靠泊计划，不然可能会遇到驳船提早靠泊而内贸落泊计划还不能受理的尴尬情况。）</w:t>
      </w:r>
    </w:p>
    <w:p>
      <w:pPr>
        <w:pStyle w:val="8"/>
        <w:ind w:left="360" w:firstLine="0" w:firstLineChars="0"/>
        <w:rPr>
          <w:sz w:val="28"/>
          <w:szCs w:val="28"/>
        </w:rPr>
      </w:pPr>
      <w:r>
        <w:rPr>
          <w:rFonts w:hint="eastAsia"/>
          <w:sz w:val="28"/>
          <w:szCs w:val="28"/>
        </w:rPr>
        <w:t>（2）确定接驳的支线船航次，并由支线公司在上海港平台上做好该船名航次的靠泊计划（具体落泊箱计划由我司负责安排）。并出具对应格式的陆改水落泊委托书给到我司操作处进行委托受理。</w:t>
      </w:r>
    </w:p>
    <w:p>
      <w:pPr>
        <w:pStyle w:val="8"/>
        <w:numPr>
          <w:ilvl w:val="0"/>
          <w:numId w:val="2"/>
        </w:numPr>
        <w:ind w:firstLineChars="0"/>
        <w:rPr>
          <w:sz w:val="28"/>
          <w:szCs w:val="28"/>
        </w:rPr>
      </w:pPr>
      <w:r>
        <w:rPr>
          <w:rFonts w:hint="eastAsia"/>
          <w:sz w:val="28"/>
          <w:szCs w:val="28"/>
        </w:rPr>
        <w:t>我司操作按委托书要求完成内转外落泊计划受理（正常需要1个工作日）。</w:t>
      </w:r>
    </w:p>
    <w:p>
      <w:pPr>
        <w:pStyle w:val="8"/>
        <w:numPr>
          <w:ilvl w:val="0"/>
          <w:numId w:val="2"/>
        </w:numPr>
        <w:ind w:firstLineChars="0"/>
        <w:rPr>
          <w:sz w:val="28"/>
          <w:szCs w:val="28"/>
        </w:rPr>
      </w:pPr>
      <w:r>
        <w:rPr>
          <w:rFonts w:hint="eastAsia"/>
          <w:sz w:val="28"/>
          <w:szCs w:val="28"/>
        </w:rPr>
        <w:t>驳船地锚地等泊上档作业，装箱完成后我司执行对账、开票、付款流程。</w:t>
      </w:r>
    </w:p>
    <w:p>
      <w:pPr>
        <w:pStyle w:val="8"/>
        <w:numPr>
          <w:ilvl w:val="0"/>
          <w:numId w:val="3"/>
        </w:numPr>
        <w:ind w:firstLineChars="0"/>
        <w:rPr>
          <w:sz w:val="28"/>
          <w:szCs w:val="28"/>
        </w:rPr>
      </w:pPr>
      <w:r>
        <w:rPr>
          <w:rFonts w:hint="eastAsia"/>
          <w:sz w:val="28"/>
          <w:szCs w:val="28"/>
        </w:rPr>
        <w:t>外贸箱已经完成异地还箱申请受理：大多数情况下坏污箱费及超期用箱费等在还箱点直接结算掉。如1-2个月后上海船公司堆场来收取对应滞箱费等费用的话我司将后补发票实报实销。</w:t>
      </w:r>
    </w:p>
    <w:p>
      <w:pPr>
        <w:pStyle w:val="8"/>
        <w:numPr>
          <w:ilvl w:val="0"/>
          <w:numId w:val="3"/>
        </w:numPr>
        <w:ind w:firstLineChars="0"/>
        <w:rPr>
          <w:sz w:val="28"/>
          <w:szCs w:val="28"/>
        </w:rPr>
      </w:pPr>
      <w:r>
        <w:rPr>
          <w:rFonts w:hint="eastAsia"/>
          <w:sz w:val="28"/>
          <w:szCs w:val="28"/>
        </w:rPr>
        <w:t>外贸箱没有申请到异地还箱：重箱进口到内地后完成拆箱后空箱使用拖车/驳船调空方式将空箱还至上海船公司指定堆场。还空堆</w:t>
      </w:r>
      <w:r>
        <w:rPr>
          <w:rFonts w:hint="eastAsia"/>
          <w:sz w:val="28"/>
          <w:szCs w:val="28"/>
          <w:lang w:val="en-US" w:eastAsia="zh-CN"/>
        </w:rPr>
        <w:t>场所产生</w:t>
      </w:r>
      <w:r>
        <w:rPr>
          <w:rFonts w:hint="eastAsia"/>
          <w:sz w:val="28"/>
          <w:szCs w:val="28"/>
        </w:rPr>
        <w:t>的坏污箱费</w:t>
      </w:r>
      <w:r>
        <w:rPr>
          <w:rFonts w:hint="eastAsia"/>
          <w:sz w:val="28"/>
          <w:szCs w:val="28"/>
          <w:lang w:eastAsia="zh-CN"/>
        </w:rPr>
        <w:t>、</w:t>
      </w:r>
      <w:r>
        <w:rPr>
          <w:rFonts w:hint="eastAsia"/>
          <w:sz w:val="28"/>
          <w:szCs w:val="28"/>
        </w:rPr>
        <w:t>下车费</w:t>
      </w:r>
      <w:r>
        <w:rPr>
          <w:rFonts w:hint="eastAsia"/>
          <w:sz w:val="28"/>
          <w:szCs w:val="28"/>
          <w:lang w:eastAsia="zh-CN"/>
        </w:rPr>
        <w:t>、</w:t>
      </w:r>
      <w:r>
        <w:rPr>
          <w:rFonts w:hint="eastAsia"/>
          <w:sz w:val="28"/>
          <w:szCs w:val="28"/>
        </w:rPr>
        <w:t>二次搬移费</w:t>
      </w:r>
      <w:r>
        <w:rPr>
          <w:rFonts w:hint="eastAsia"/>
          <w:sz w:val="28"/>
          <w:szCs w:val="28"/>
          <w:lang w:eastAsia="zh-CN"/>
        </w:rPr>
        <w:t>、</w:t>
      </w:r>
      <w:r>
        <w:rPr>
          <w:rFonts w:hint="eastAsia"/>
          <w:sz w:val="28"/>
          <w:szCs w:val="28"/>
        </w:rPr>
        <w:t>超期滞箱费等</w:t>
      </w:r>
      <w:r>
        <w:rPr>
          <w:rFonts w:hint="eastAsia"/>
          <w:sz w:val="28"/>
          <w:szCs w:val="28"/>
          <w:lang w:eastAsia="zh-CN"/>
        </w:rPr>
        <w:t>，</w:t>
      </w:r>
      <w:r>
        <w:rPr>
          <w:rFonts w:hint="eastAsia"/>
          <w:sz w:val="28"/>
          <w:szCs w:val="28"/>
          <w:lang w:val="en-US" w:eastAsia="zh-CN"/>
        </w:rPr>
        <w:t>会</w:t>
      </w:r>
      <w:r>
        <w:rPr>
          <w:rFonts w:hint="eastAsia"/>
          <w:sz w:val="28"/>
          <w:szCs w:val="28"/>
        </w:rPr>
        <w:t>根据</w:t>
      </w:r>
      <w:r>
        <w:rPr>
          <w:rFonts w:hint="eastAsia"/>
          <w:sz w:val="28"/>
          <w:szCs w:val="28"/>
          <w:lang w:val="en-US" w:eastAsia="zh-CN"/>
        </w:rPr>
        <w:t>船公司及堆场提供的</w:t>
      </w:r>
      <w:r>
        <w:rPr>
          <w:rFonts w:hint="eastAsia"/>
          <w:sz w:val="28"/>
          <w:szCs w:val="28"/>
        </w:rPr>
        <w:t>账单：实报实销。（相关费用由船公司及堆场在1-2个月以后提供具体费用金额对账，费用有一定的滞后。）</w:t>
      </w:r>
    </w:p>
    <w:p>
      <w:pPr>
        <w:rPr>
          <w:sz w:val="28"/>
          <w:szCs w:val="28"/>
        </w:rPr>
      </w:pPr>
    </w:p>
    <w:p>
      <w:pPr>
        <w:pStyle w:val="8"/>
        <w:numPr>
          <w:ilvl w:val="0"/>
          <w:numId w:val="1"/>
        </w:numPr>
        <w:ind w:firstLineChars="0"/>
        <w:rPr>
          <w:rFonts w:ascii="黑体" w:hAnsi="黑体" w:eastAsia="黑体"/>
          <w:b/>
          <w:sz w:val="30"/>
          <w:szCs w:val="30"/>
        </w:rPr>
      </w:pPr>
      <w:r>
        <w:rPr>
          <w:rFonts w:ascii="黑体" w:hAnsi="黑体" w:eastAsia="黑体"/>
          <w:b/>
          <w:sz w:val="30"/>
          <w:szCs w:val="30"/>
        </w:rPr>
        <w:t>需要单证</w:t>
      </w:r>
    </w:p>
    <w:p>
      <w:pPr>
        <w:pStyle w:val="8"/>
        <w:numPr>
          <w:ilvl w:val="0"/>
          <w:numId w:val="4"/>
        </w:numPr>
        <w:ind w:firstLineChars="0"/>
        <w:rPr>
          <w:sz w:val="28"/>
          <w:szCs w:val="28"/>
        </w:rPr>
      </w:pPr>
      <w:r>
        <w:rPr>
          <w:rFonts w:hint="eastAsia"/>
          <w:sz w:val="28"/>
          <w:szCs w:val="28"/>
        </w:rPr>
        <w:t>进口清关：发票、装箱单、申报要素（电子版）及其他根据货物种类及是否渉证的对应单据（正本件）。</w:t>
      </w:r>
    </w:p>
    <w:p>
      <w:pPr>
        <w:pStyle w:val="8"/>
        <w:numPr>
          <w:ilvl w:val="0"/>
          <w:numId w:val="4"/>
        </w:numPr>
        <w:ind w:firstLineChars="0"/>
        <w:rPr>
          <w:sz w:val="28"/>
          <w:szCs w:val="28"/>
        </w:rPr>
      </w:pPr>
      <w:r>
        <w:rPr>
          <w:rFonts w:hint="eastAsia"/>
          <w:sz w:val="28"/>
          <w:szCs w:val="28"/>
        </w:rPr>
        <w:t>进口换单：提单（正本/SWB/电放格式）、电放/SWB保函（必须要正本件）</w:t>
      </w:r>
    </w:p>
    <w:p>
      <w:pPr>
        <w:pStyle w:val="8"/>
        <w:numPr>
          <w:ilvl w:val="0"/>
          <w:numId w:val="4"/>
        </w:numPr>
        <w:ind w:firstLineChars="0"/>
        <w:rPr>
          <w:sz w:val="28"/>
          <w:szCs w:val="28"/>
        </w:rPr>
      </w:pPr>
      <w:r>
        <w:rPr>
          <w:rFonts w:hint="eastAsia"/>
          <w:sz w:val="28"/>
          <w:szCs w:val="28"/>
        </w:rPr>
        <w:t>陆改水进口落泊委托书（见格式附件）</w:t>
      </w:r>
    </w:p>
    <w:p>
      <w:pPr>
        <w:rPr>
          <w:sz w:val="28"/>
          <w:szCs w:val="28"/>
        </w:rPr>
      </w:pPr>
    </w:p>
    <w:p>
      <w:pPr>
        <w:pStyle w:val="8"/>
        <w:numPr>
          <w:ilvl w:val="0"/>
          <w:numId w:val="1"/>
        </w:numPr>
        <w:ind w:firstLineChars="0"/>
        <w:rPr>
          <w:rFonts w:ascii="黑体" w:hAnsi="黑体" w:eastAsia="黑体"/>
          <w:b/>
          <w:sz w:val="30"/>
          <w:szCs w:val="30"/>
        </w:rPr>
      </w:pPr>
      <w:r>
        <w:rPr>
          <w:rFonts w:hint="eastAsia" w:ascii="黑体" w:hAnsi="黑体" w:eastAsia="黑体"/>
          <w:b/>
          <w:sz w:val="30"/>
          <w:szCs w:val="30"/>
        </w:rPr>
        <w:t>特殊操作及注意要点</w:t>
      </w:r>
    </w:p>
    <w:p>
      <w:pPr>
        <w:pStyle w:val="8"/>
        <w:numPr>
          <w:ilvl w:val="0"/>
          <w:numId w:val="5"/>
        </w:numPr>
        <w:ind w:firstLineChars="0"/>
        <w:rPr>
          <w:sz w:val="28"/>
          <w:szCs w:val="28"/>
        </w:rPr>
      </w:pPr>
      <w:r>
        <w:rPr>
          <w:rFonts w:hint="eastAsia"/>
          <w:sz w:val="28"/>
          <w:szCs w:val="28"/>
        </w:rPr>
        <w:t>报价单中的费率仅仅针对干线船卸下的外转内落泊同码头操作模式可用。如遇进口箱因为长期堆存被港区疏港、洋山进口箱被海关查验提出码头这两种情况下，虽然箱子依旧在码头外堆场的监管中，但已经不能使用同码头水水中转的费率及操作模式。针对上述情况我司可以提供从外堆场拖车至支线船靠泊码头的方式来按照内贸箱进港安排拖车计划。这种操作中我司代为结算外贸箱所有的港务港杂费，理货费，放单费，及还空堆场的相关费用，具体拖车费率根据实际情况单独确定。送进内贸码头需要使用支线驳船的内贸设备单。此类情况下内贸箱的落泊计划由支线驳船自行安排上海CY-其他港口CY。</w:t>
      </w:r>
    </w:p>
    <w:p>
      <w:pPr>
        <w:pStyle w:val="8"/>
        <w:numPr>
          <w:ilvl w:val="0"/>
          <w:numId w:val="5"/>
        </w:numPr>
        <w:ind w:firstLineChars="0"/>
        <w:rPr>
          <w:sz w:val="28"/>
          <w:szCs w:val="28"/>
        </w:rPr>
      </w:pPr>
      <w:r>
        <w:rPr>
          <w:rFonts w:hint="eastAsia"/>
          <w:sz w:val="28"/>
          <w:szCs w:val="28"/>
        </w:rPr>
        <w:t>在进行外贸箱放设备单时可能会遇到箱子进口时间较长、箱量较多</w:t>
      </w:r>
      <w:r>
        <w:rPr>
          <w:rFonts w:hint="eastAsia"/>
          <w:sz w:val="28"/>
          <w:szCs w:val="28"/>
          <w:lang w:val="en-US" w:eastAsia="zh-CN"/>
        </w:rPr>
        <w:t>的情况</w:t>
      </w:r>
      <w:r>
        <w:rPr>
          <w:rFonts w:hint="eastAsia"/>
          <w:sz w:val="28"/>
          <w:szCs w:val="28"/>
        </w:rPr>
        <w:t>。船公司系统自动判定可能会产生巨额</w:t>
      </w:r>
      <w:r>
        <w:rPr>
          <w:rFonts w:hint="eastAsia"/>
          <w:sz w:val="28"/>
          <w:szCs w:val="28"/>
          <w:lang w:val="en-US" w:eastAsia="zh-CN"/>
        </w:rPr>
        <w:t>的</w:t>
      </w:r>
      <w:r>
        <w:rPr>
          <w:rFonts w:hint="eastAsia"/>
          <w:sz w:val="28"/>
          <w:szCs w:val="28"/>
        </w:rPr>
        <w:t>超期用箱费的时候会要求客户在放单前预先提交对应金额的滞箱费押金后才予以放单。等到全部空箱完成还空及船公司堆场费用结算后会将剩余押金返还客户。</w:t>
      </w:r>
    </w:p>
    <w:p>
      <w:pPr>
        <w:pStyle w:val="8"/>
        <w:numPr>
          <w:ilvl w:val="0"/>
          <w:numId w:val="5"/>
        </w:numPr>
        <w:ind w:firstLineChars="0"/>
        <w:rPr>
          <w:sz w:val="28"/>
          <w:szCs w:val="28"/>
        </w:rPr>
      </w:pPr>
      <w:r>
        <w:rPr>
          <w:rFonts w:hint="eastAsia"/>
          <w:sz w:val="28"/>
          <w:szCs w:val="28"/>
        </w:rPr>
        <w:t>如果进口干线船靠泊洋山/外港码头，而对应接驳的支线船因</w:t>
      </w:r>
      <w:r>
        <w:rPr>
          <w:rFonts w:hint="eastAsia"/>
          <w:sz w:val="28"/>
          <w:szCs w:val="28"/>
          <w:lang w:val="en-US" w:eastAsia="zh-CN"/>
        </w:rPr>
        <w:t>不可抗力的</w:t>
      </w:r>
      <w:r>
        <w:rPr>
          <w:rFonts w:hint="eastAsia"/>
          <w:sz w:val="28"/>
          <w:szCs w:val="28"/>
        </w:rPr>
        <w:t>原因无法接靠上海港码头时，我司也可以提供外港/洋山</w:t>
      </w:r>
      <w:r>
        <w:rPr>
          <w:rFonts w:hint="eastAsia"/>
          <w:sz w:val="28"/>
          <w:szCs w:val="28"/>
          <w:lang w:val="en-US" w:eastAsia="zh-CN"/>
        </w:rPr>
        <w:t>--</w:t>
      </w:r>
      <w:r>
        <w:rPr>
          <w:rFonts w:hint="eastAsia"/>
          <w:sz w:val="28"/>
          <w:szCs w:val="28"/>
        </w:rPr>
        <w:t>太仓码头的外贸转内贸驳运计划。方便客户及支线驳船多一种在太仓接驳的选择，前段操作要点及流程与同码头落泊支线船一</w:t>
      </w:r>
      <w:r>
        <w:rPr>
          <w:rFonts w:hint="eastAsia"/>
          <w:sz w:val="28"/>
          <w:szCs w:val="28"/>
          <w:lang w:val="en-US" w:eastAsia="zh-CN"/>
        </w:rPr>
        <w:t>样</w:t>
      </w:r>
      <w:r>
        <w:rPr>
          <w:rFonts w:hint="eastAsia"/>
          <w:sz w:val="28"/>
          <w:szCs w:val="28"/>
        </w:rPr>
        <w:t>，具体方案及费用如有需</w:t>
      </w:r>
      <w:r>
        <w:rPr>
          <w:rFonts w:hint="eastAsia"/>
          <w:sz w:val="28"/>
          <w:szCs w:val="28"/>
          <w:lang w:val="en-US" w:eastAsia="zh-CN"/>
        </w:rPr>
        <w:t>要，</w:t>
      </w:r>
      <w:r>
        <w:rPr>
          <w:rFonts w:hint="eastAsia"/>
          <w:sz w:val="28"/>
          <w:szCs w:val="28"/>
        </w:rPr>
        <w:t>请咨询项目经理</w:t>
      </w:r>
      <w:r>
        <w:rPr>
          <w:rFonts w:hint="eastAsia"/>
          <w:sz w:val="28"/>
          <w:szCs w:val="28"/>
          <w:lang w:val="en-US" w:eastAsia="zh-CN"/>
        </w:rPr>
        <w:t>或</w:t>
      </w:r>
      <w:r>
        <w:rPr>
          <w:rFonts w:hint="eastAsia"/>
          <w:sz w:val="28"/>
          <w:szCs w:val="28"/>
        </w:rPr>
        <w:t>对应客服销售。</w:t>
      </w:r>
    </w:p>
    <w:p>
      <w:pPr>
        <w:rPr>
          <w:sz w:val="28"/>
          <w:szCs w:val="28"/>
        </w:rPr>
      </w:pPr>
    </w:p>
    <w:p>
      <w:pPr>
        <w:jc w:val="right"/>
        <w:rPr>
          <w:b/>
          <w:sz w:val="28"/>
          <w:szCs w:val="28"/>
        </w:rPr>
      </w:pPr>
      <w:r>
        <w:rPr>
          <w:rFonts w:hint="eastAsia"/>
          <w:b/>
          <w:sz w:val="28"/>
          <w:szCs w:val="28"/>
        </w:rPr>
        <w:t>上海运辉国际货运代理有限公司</w:t>
      </w:r>
    </w:p>
    <w:p>
      <w:pPr>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4831080" cy="990600"/>
          <wp:effectExtent l="19050" t="0" r="7620" b="0"/>
          <wp:docPr id="1" name="图片 1" descr="C:\Users\HP\Desktop\徐林伟\上海运辉电子LOGOL抬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P\Desktop\徐林伟\上海运辉电子LOGOL抬头.png"/>
                  <pic:cNvPicPr>
                    <a:picLocks noChangeAspect="1" noChangeArrowheads="1"/>
                  </pic:cNvPicPr>
                </pic:nvPicPr>
                <pic:blipFill>
                  <a:blip r:embed="rId1"/>
                  <a:srcRect/>
                  <a:stretch>
                    <a:fillRect/>
                  </a:stretch>
                </pic:blipFill>
                <pic:spPr>
                  <a:xfrm>
                    <a:off x="0" y="0"/>
                    <a:ext cx="4831080" cy="990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B1780"/>
    <w:multiLevelType w:val="multilevel"/>
    <w:tmpl w:val="23FB1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6F3EF7"/>
    <w:multiLevelType w:val="multilevel"/>
    <w:tmpl w:val="3F6F3EF7"/>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65BF25D9"/>
    <w:multiLevelType w:val="multilevel"/>
    <w:tmpl w:val="65BF25D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BF0ECE"/>
    <w:multiLevelType w:val="multilevel"/>
    <w:tmpl w:val="78BF0E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067B43"/>
    <w:multiLevelType w:val="multilevel"/>
    <w:tmpl w:val="7B067B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WY4NTQxYTNmMDFmMmI1ZWZmMDAwZmFmOWVkZTEifQ=="/>
  </w:docVars>
  <w:rsids>
    <w:rsidRoot w:val="00E853DA"/>
    <w:rsid w:val="000133AA"/>
    <w:rsid w:val="00162439"/>
    <w:rsid w:val="001E311B"/>
    <w:rsid w:val="00282A51"/>
    <w:rsid w:val="0037278C"/>
    <w:rsid w:val="00387DDF"/>
    <w:rsid w:val="00393500"/>
    <w:rsid w:val="004C28C4"/>
    <w:rsid w:val="00595F2A"/>
    <w:rsid w:val="0060176D"/>
    <w:rsid w:val="006200A8"/>
    <w:rsid w:val="006201EF"/>
    <w:rsid w:val="00640F0D"/>
    <w:rsid w:val="00740162"/>
    <w:rsid w:val="009036FC"/>
    <w:rsid w:val="00960089"/>
    <w:rsid w:val="00A111D3"/>
    <w:rsid w:val="00A36C1C"/>
    <w:rsid w:val="00B06EB7"/>
    <w:rsid w:val="00BE25DF"/>
    <w:rsid w:val="00D11028"/>
    <w:rsid w:val="00DF7434"/>
    <w:rsid w:val="00E853DA"/>
    <w:rsid w:val="00FE5B00"/>
    <w:rsid w:val="069150D4"/>
    <w:rsid w:val="1F274302"/>
    <w:rsid w:val="1FD9384E"/>
    <w:rsid w:val="236037FD"/>
    <w:rsid w:val="289C18BC"/>
    <w:rsid w:val="2D98091F"/>
    <w:rsid w:val="4FAB7F99"/>
    <w:rsid w:val="55804125"/>
    <w:rsid w:val="5A276988"/>
    <w:rsid w:val="65EA0AA8"/>
    <w:rsid w:val="780879A1"/>
    <w:rsid w:val="78ED3B75"/>
    <w:rsid w:val="7DBF5C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1629</Words>
  <Characters>1761</Characters>
  <Lines>12</Lines>
  <Paragraphs>3</Paragraphs>
  <TotalTime>0</TotalTime>
  <ScaleCrop>false</ScaleCrop>
  <LinksUpToDate>false</LinksUpToDate>
  <CharactersWithSpaces>1785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2022-04-24T07:30:00Z</dcterms:created>
  <dc:creator>HP</dc:creator>
  <cp:lastModifiedBy>double</cp:lastModifiedBy>
  <dcterms:modified xsi:type="dcterms:W3CDTF">2022-05-08T11:27:51Z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eyJoZGlkIjoiZGJhZWY4NTQxYTNmMDFmMmI1ZWZmMDAwZmFmOWVkZTEifQ==</vt:lpwstr>
  </property>
  <property fmtid="{D5CDD505-2E9C-101B-9397-08002B2CF9AE}" pid="3" name="KSOProductBuildVer">
    <vt:lpwstr>2052-11.1.0.11636</vt:lpwstr>
  </property>
  <property fmtid="{D5CDD505-2E9C-101B-9397-08002B2CF9AE}" pid="4" name="ICV">
    <vt:lpwstr>D05742FB14D247A296E90A0C3F78BE5B</vt:lpwstr>
  </property>
</Properties>
</file>